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05D"/>
          <w:sz w:val="36"/>
        </w:rPr>
        <w:t>Reading IR Functional-Group Evidence</w:t>
      </w:r>
    </w:p>
    <w:p>
      <w:r>
        <w:rPr>
          <w:i/>
          <w:color w:val="506378"/>
        </w:rPr>
        <w:t>Classify patterns; explain what they support and what they do not establish.</w:t>
      </w:r>
    </w:p>
    <w:p>
      <w:r>
        <w:rPr>
          <w:b/>
          <w:color w:val="0D67B4"/>
        </w:rPr>
        <w:t>STUDENT PRACTICE  •  SIMULATED DATA</w:t>
      </w:r>
    </w:p>
    <w:p>
      <w:r>
        <w:t>Name: _____________________________________    Date: _________________</w:t>
      </w:r>
    </w:p>
    <w:p>
      <w:r>
        <w:drawing>
          <wp:inline xmlns:a="http://schemas.openxmlformats.org/drawingml/2006/main" xmlns:pic="http://schemas.openxmlformats.org/drawingml/2006/picture">
            <wp:extent cx="5074920" cy="144453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r-functional-evidenc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1444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6"/>
        </w:rPr>
        <w:t>All signals and numbers in this worksheet are simulated for teaching. GC uncorrected area percentages are not validated mole or mass compositions.</w:t>
      </w:r>
    </w:p>
    <w:p>
      <w:pPr>
        <w:keepNext/>
        <w:spacing w:before="200"/>
      </w:pPr>
      <w:r>
        <w:rPr>
          <w:b/>
          <w:color w:val="113059"/>
        </w:rPr>
        <w:t>1.  A simulated spectrum shows a strong absorption at 1740 cm⁻¹, another near 1240 cm⁻¹, and no broad O–H. What functional-group class is consistent? Name one limitation.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2.  A simulated sample shows a broad 3300 cm⁻¹ absorption, a C–O band near 1050 cm⁻¹, and no strong carbonyl band. Propose a likely class and one possible interference.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3.  A strong narrow 1715 cm⁻¹ feature appears. Which key bond class is supported? Does this identify a unique compound?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4.  What spectral combination strongly supports a carboxylic acid?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5.  On an IR transmittance plot, which direction does wavenumber increase? Do absorption bands point up or down?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6.  An IR spectrum appears to match a ketone reference. What two additional checks would you do before naming the sample?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1"/>
      <w:pgSz w:w="12240" w:h="15840"/>
      <w:pgMar w:top="965" w:right="1138" w:bottom="835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7689"/>
        <w:sz w:val="16"/>
      </w:rPr>
      <w:t>IntoChemistry  •  Simulated educational casework  •  For student practice, not instrument output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A4178"/>
        <w:sz w:val="16"/>
      </w:rPr>
      <w:t>INTOCHEMISTRY  /  LAB ANALYSIS SERIES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9365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