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05D"/>
          <w:sz w:val="36"/>
        </w:rPr>
        <w:t>Using IR, GC and Mass as Evidence</w:t>
      </w:r>
    </w:p>
    <w:p>
      <w:r>
        <w:rPr>
          <w:i/>
          <w:color w:val="506378"/>
        </w:rPr>
        <w:t>Practice claim–evidence–reasoning with realistic contradictions.</w:t>
      </w:r>
    </w:p>
    <w:p>
      <w:r>
        <w:rPr>
          <w:b/>
          <w:color w:val="0D67B4"/>
        </w:rPr>
        <w:t>STUDENT PRACTICE  •  SIMULATED DATA</w:t>
      </w:r>
    </w:p>
    <w:p>
      <w:r>
        <w:t>Name: _____________________________________    Date: _________________</w:t>
      </w:r>
    </w:p>
    <w:p>
      <w:r>
        <w:drawing>
          <wp:inline xmlns:a="http://schemas.openxmlformats.org/drawingml/2006/main" xmlns:pic="http://schemas.openxmlformats.org/drawingml/2006/picture">
            <wp:extent cx="5074920" cy="144453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-evidence-ma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1444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6"/>
        </w:rPr>
        <w:t>All signals and numbers in this worksheet are simulated for teaching. GC uncorrected area percentages are not validated mole or mass compositions.</w:t>
      </w:r>
    </w:p>
    <w:p>
      <w:pPr>
        <w:keepNext/>
        <w:spacing w:before="200"/>
      </w:pPr>
      <w:r>
        <w:rPr>
          <w:b/>
          <w:color w:val="113059"/>
        </w:rPr>
        <w:t>1.  Recovered liquid mass appears above the expected theoretical mass. IR retains broad O–H and GC contains several peaks. What should be investigated first?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2.  After an alcohol oxidation, IR develops a strong C=O near 1715 cm⁻¹ and broad O–H decreases. What is supported and what remains uncertain?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3.  One GC peak matches a proposed product standard tR. What independent evidence would strengthen identification?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4.  IR supports formation of an alkene but GC shows two major peaks. Give a cautious conclusion.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5.  A GC trace gives a major peak area% of 83%. What can you say about the amount or purity of the major compound?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6.  Write a two-sentence claim–evidence–limitation conclusion for a reaction with expected IR changes but unexplained GC peaks.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1"/>
      <w:pgSz w:w="12240" w:h="15840"/>
      <w:pgMar w:top="965" w:right="1138" w:bottom="835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7689"/>
        <w:sz w:val="16"/>
      </w:rPr>
      <w:t>IntoChemistry  •  Simulated educational casework  •  For student practice, not instrument output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A4178"/>
        <w:sz w:val="16"/>
      </w:rPr>
      <w:t>INTOCHEMISTRY  /  LAB ANALYSIS SERIES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9365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