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13663"/>
        </w:rPr>
        <w:t>INTOCHEMISTRY   /   ORGANIC CHEMISTRY</w:t>
      </w:r>
    </w:p>
    <w:p>
      <w:pPr>
        <w:pStyle w:val="Heading1"/>
      </w:pPr>
      <w:r>
        <w:rPr>
          <w:color w:val="113663"/>
        </w:rPr>
        <w:t>SN2 Inversion and Product Configuration</w:t>
      </w:r>
    </w:p>
    <w:p>
      <w:r>
        <w:rPr>
          <w:b/>
          <w:color w:val="113663"/>
        </w:rPr>
        <w:t>STUDENT PRACTICE WORKSHEET</w:t>
      </w:r>
    </w:p>
    <w:p>
      <w:r>
        <w:t>Name: ___________________________________    Date: __________________</w:t>
      </w:r>
    </w:p>
    <w:p>
      <w:r>
        <w:t>Directions: Explain your chemical reasoning. Show stereochemical sketches when appropriate.</w:t>
      </w:r>
    </w:p>
    <w:p>
      <w:pPr>
        <w:keepLines/>
        <w:spacing w:before="200"/>
      </w:pPr>
      <w:r>
        <w:rPr>
          <w:b/>
        </w:rPr>
        <w:t>1.  SN2 on (S)-2-bromobutane: For the substitution product of (S)-2-bromobutane with HO− under SN2-favoring conditions. Where does HO− approach?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2.  What is the configuration of the substitution alcohol?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3.  SN2 iodo substitution: For the substitution product of (R)-2-bromobutane with I− in acetone under conditions favoring SN2. What changes during the elementary step?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4.  What is the CIP descriptor of the substitution product?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r>
        <w:br w:type="page"/>
      </w:r>
    </w:p>
    <w:p>
      <w:pPr>
        <w:keepLines/>
        <w:spacing w:before="200"/>
      </w:pPr>
      <w:r>
        <w:rPr>
          <w:b/>
        </w:rPr>
        <w:t>5.  Primary substrate and stereochemistry: Bromoethane reacts with azide under conditions favoring SN2. Is the electrophilic carbon a stereogenic center?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6.  How should the product be labeled?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7.  Geometry versus letter descriptors: An SN2 substrate has a chiral center, and the entering group changes CIP priority ordering. What is always true for a genuine SN2 at that carbon?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8.  Can the letter designation remain R despite geometric inversion?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066" w:bottom="1008" w:left="1066" w:header="50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IntoChemistry  |  Chemistry teaching resources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